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Lone Working and One-to-One Working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reduce risk and increase transparency in lone working and one-to-one situations.</w:t>
      </w:r>
    </w:p>
    <w:p>
      <w:pPr>
        <w:pStyle w:val="Heading1"/>
      </w:pPr>
      <w:r>
        <w:t>Scope</w:t>
      </w:r>
    </w:p>
    <w:p>
      <w:r>
        <w:t>Any circumstance where a staff member works alone or in a one-to-one situation with a child.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Lone working and one-to-one work should be avoided where possible.</w:t>
      </w:r>
    </w:p>
    <w:p>
      <w:pPr>
        <w:pStyle w:val="ListBullet"/>
        <w:spacing w:after="40"/>
      </w:pPr>
      <w:r>
        <w:t>Where unavoidable, visibility, oversight, and recording controls must be applied.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risk assessment, line-of-sight arrangements, open-door working, and clear justification.</w:t>
      </w:r>
    </w:p>
    <w:p>
      <w:pPr>
        <w:pStyle w:val="ListBullet"/>
        <w:spacing w:after="40"/>
      </w:pPr>
      <w:r>
        <w:t>Ensure parents are informed where relevant and sensitive support arrangements are planned safely.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Staff must notify the site lead, follow agreed control measures, and record any significant one-to-one interaction or concern.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Lone Working and One-to-One Working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